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BF" w:rsidRDefault="001431F7" w:rsidP="001431F7">
      <w:pPr>
        <w:jc w:val="center"/>
        <w:rPr>
          <w:rFonts w:ascii="微软雅黑" w:eastAsia="微软雅黑" w:hAnsi="微软雅黑" w:hint="eastAsia"/>
          <w:color w:val="000000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33"/>
          <w:szCs w:val="33"/>
          <w:shd w:val="clear" w:color="auto" w:fill="FFFFFF"/>
        </w:rPr>
        <w:t>高等数学试卷分析</w:t>
      </w:r>
    </w:p>
    <w:p w:rsidR="001431F7" w:rsidRPr="001431F7" w:rsidRDefault="001431F7" w:rsidP="001431F7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</w:pPr>
      <w:r w:rsidRPr="001431F7">
        <w:rPr>
          <w:rFonts w:ascii="微软雅黑" w:eastAsia="微软雅黑" w:hAnsi="微软雅黑" w:cs="宋体" w:hint="eastAsia"/>
          <w:b/>
          <w:color w:val="000000"/>
          <w:kern w:val="0"/>
          <w:szCs w:val="21"/>
          <w:shd w:val="clear" w:color="auto" w:fill="FFFFFF"/>
        </w:rPr>
        <w:t>试卷总体分析</w:t>
      </w:r>
    </w:p>
    <w:p w:rsidR="001431F7" w:rsidRDefault="001431F7" w:rsidP="001431F7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431F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今年的高等数学试卷从题型和题量上来看，与以往历年试卷相比没有发生变化，难度与去年相比基本上是相当的。考查的内容涵盖了高等数学中绝大部分知识，对学生所学知识起到了一个综合性的测试和检验。从历年试卷中，我们可以看到</w:t>
      </w:r>
      <w:proofErr w:type="gramStart"/>
      <w:r w:rsidRPr="001431F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不少解</w:t>
      </w:r>
      <w:proofErr w:type="gramEnd"/>
      <w:r w:rsidRPr="001431F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答题和综合</w:t>
      </w:r>
      <w:proofErr w:type="gramStart"/>
      <w:r w:rsidRPr="001431F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题更加</w:t>
      </w:r>
      <w:proofErr w:type="gramEnd"/>
      <w:r w:rsidRPr="001431F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全面地考查学生的综合解题能力。试卷中将很多不同类型的知识点汇合到一起，直接或间接地给出已知条件，并且改变了以往的解题习惯，更加注重了逆向思维的考查。如今年的22、23、24题，都是非常全面地考查学生对所学知识的综合运用能力。另外，从今年的试卷也可以看出，计算能力的加强也是一个变化，不少同学在考试结束时还没有做到对整个试卷检查一遍，甚至是没有完全做完。今年的试卷总体上来说并不难，但是计算量还是有一些的，有些学生平时不注重这方面的练习，做题不求甚解，认为会了就不做下去了，这样就忽略了计算能力的锻炼，导致在考试中失去了本应该可以得到的分数。</w:t>
      </w:r>
    </w:p>
    <w:p w:rsidR="001431F7" w:rsidRPr="001431F7" w:rsidRDefault="001431F7" w:rsidP="001431F7">
      <w:pPr>
        <w:widowControl/>
        <w:jc w:val="left"/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</w:pPr>
      <w:r w:rsidRPr="001431F7">
        <w:rPr>
          <w:rFonts w:ascii="微软雅黑" w:eastAsia="微软雅黑" w:hAnsi="微软雅黑" w:cs="宋体" w:hint="eastAsia"/>
          <w:b/>
          <w:color w:val="000000"/>
          <w:kern w:val="0"/>
          <w:szCs w:val="21"/>
          <w:shd w:val="clear" w:color="auto" w:fill="FFFFFF"/>
        </w:rPr>
        <w:t>二、 题型分布</w:t>
      </w:r>
    </w:p>
    <w:p w:rsidR="001431F7" w:rsidRPr="001431F7" w:rsidRDefault="001431F7" w:rsidP="001431F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今年</w:t>
      </w:r>
      <w:r w:rsidRPr="001431F7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题目数量仍旧是与以往一样，共24题，满分150分，下面将今年的题型分布列表如下：</w:t>
      </w:r>
    </w:p>
    <w:tbl>
      <w:tblPr>
        <w:tblW w:w="873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5"/>
        <w:gridCol w:w="1199"/>
        <w:gridCol w:w="984"/>
        <w:gridCol w:w="668"/>
        <w:gridCol w:w="884"/>
        <w:gridCol w:w="883"/>
        <w:gridCol w:w="697"/>
        <w:gridCol w:w="1171"/>
        <w:gridCol w:w="999"/>
      </w:tblGrid>
      <w:tr w:rsidR="001431F7" w:rsidRPr="001431F7" w:rsidTr="001431F7">
        <w:trPr>
          <w:tblCellSpacing w:w="15" w:type="dxa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内 容 题 型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函数极限连续与间断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导数计算与应用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不定积分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定积分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常微分方程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级数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矢量与空间解析几何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多元函数微积分</w:t>
            </w:r>
          </w:p>
        </w:tc>
      </w:tr>
      <w:tr w:rsidR="001431F7" w:rsidRPr="001431F7" w:rsidTr="001431F7">
        <w:trPr>
          <w:tblCellSpacing w:w="15" w:type="dxa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选择题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431F7" w:rsidRPr="001431F7" w:rsidTr="001431F7">
        <w:trPr>
          <w:tblCellSpacing w:w="15" w:type="dxa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填空题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1431F7" w:rsidRPr="001431F7" w:rsidTr="001431F7">
        <w:trPr>
          <w:tblCellSpacing w:w="15" w:type="dxa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计算题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1431F7" w:rsidRPr="001431F7" w:rsidTr="001431F7">
        <w:trPr>
          <w:tblCellSpacing w:w="15" w:type="dxa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证明题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431F7" w:rsidRPr="001431F7" w:rsidTr="001431F7">
        <w:trPr>
          <w:tblCellSpacing w:w="15" w:type="dxa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综合题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431F7" w:rsidRPr="001431F7" w:rsidTr="001431F7">
        <w:trPr>
          <w:tblCellSpacing w:w="15" w:type="dxa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31F7" w:rsidRPr="001431F7" w:rsidRDefault="001431F7" w:rsidP="001431F7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431F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</w:tbl>
    <w:p w:rsidR="001431F7" w:rsidRPr="001431F7" w:rsidRDefault="001431F7" w:rsidP="001431F7">
      <w:pPr>
        <w:jc w:val="center"/>
        <w:rPr>
          <w:b/>
        </w:rPr>
      </w:pPr>
      <w:r w:rsidRPr="001431F7">
        <w:rPr>
          <w:rFonts w:ascii="微软雅黑" w:eastAsia="微软雅黑" w:hAnsi="微软雅黑" w:cs="宋体" w:hint="eastAsia"/>
          <w:b/>
          <w:color w:val="000000"/>
          <w:kern w:val="0"/>
          <w:szCs w:val="21"/>
          <w:shd w:val="clear" w:color="auto" w:fill="FFFFFF"/>
        </w:rPr>
        <w:t>备注：上述表格只是一个大致的分布，实际上，由于许多</w:t>
      </w:r>
      <w:proofErr w:type="gramStart"/>
      <w:r w:rsidRPr="001431F7">
        <w:rPr>
          <w:rFonts w:ascii="微软雅黑" w:eastAsia="微软雅黑" w:hAnsi="微软雅黑" w:cs="宋体" w:hint="eastAsia"/>
          <w:b/>
          <w:color w:val="000000"/>
          <w:kern w:val="0"/>
          <w:szCs w:val="21"/>
          <w:shd w:val="clear" w:color="auto" w:fill="FFFFFF"/>
        </w:rPr>
        <w:t>题更加</w:t>
      </w:r>
      <w:proofErr w:type="gramEnd"/>
      <w:r w:rsidRPr="001431F7">
        <w:rPr>
          <w:rFonts w:ascii="微软雅黑" w:eastAsia="微软雅黑" w:hAnsi="微软雅黑" w:cs="宋体" w:hint="eastAsia"/>
          <w:b/>
          <w:color w:val="000000"/>
          <w:kern w:val="0"/>
          <w:szCs w:val="21"/>
          <w:shd w:val="clear" w:color="auto" w:fill="FFFFFF"/>
        </w:rPr>
        <w:t>综合地考查知识点，所以有时很难将它们归入哪一种类型的题目中。</w:t>
      </w:r>
    </w:p>
    <w:sectPr w:rsidR="001431F7" w:rsidRPr="001431F7" w:rsidSect="003764B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0FB" w:rsidRDefault="00C170FB" w:rsidP="001431F7">
      <w:r>
        <w:separator/>
      </w:r>
    </w:p>
  </w:endnote>
  <w:endnote w:type="continuationSeparator" w:id="0">
    <w:p w:rsidR="00C170FB" w:rsidRDefault="00C170FB" w:rsidP="00143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0FB" w:rsidRDefault="00C170FB" w:rsidP="001431F7">
      <w:r>
        <w:separator/>
      </w:r>
    </w:p>
  </w:footnote>
  <w:footnote w:type="continuationSeparator" w:id="0">
    <w:p w:rsidR="00C170FB" w:rsidRDefault="00C170FB" w:rsidP="00143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F7" w:rsidRDefault="001431F7">
    <w:pPr>
      <w:pStyle w:val="a4"/>
    </w:pPr>
    <w:r>
      <w:rPr>
        <w:noProof/>
      </w:rPr>
      <w:drawing>
        <wp:inline distT="0" distB="0" distL="0" distR="0">
          <wp:extent cx="2371725" cy="521688"/>
          <wp:effectExtent l="19050" t="0" r="9525" b="0"/>
          <wp:docPr id="1" name="图片 0" descr="QQ截图201508101109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截图2015081011090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725" cy="521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31F7" w:rsidRDefault="001431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97DC3"/>
    <w:multiLevelType w:val="hybridMultilevel"/>
    <w:tmpl w:val="203E2FD6"/>
    <w:lvl w:ilvl="0" w:tplc="C3AC438E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1F7"/>
    <w:rsid w:val="001348D1"/>
    <w:rsid w:val="001431F7"/>
    <w:rsid w:val="003764BF"/>
    <w:rsid w:val="00C1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1F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43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31F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3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31F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431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31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94A32-544A-4F97-B693-D22ADCFE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2015-08-10T03:12:00Z</dcterms:created>
  <dcterms:modified xsi:type="dcterms:W3CDTF">2015-08-10T03:14:00Z</dcterms:modified>
</cp:coreProperties>
</file>